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88F" w:rsidRPr="00DB788F" w:rsidRDefault="00DB788F" w:rsidP="00DB788F">
      <w:pPr>
        <w:rPr>
          <w:rFonts w:hint="eastAsia"/>
        </w:rPr>
      </w:pPr>
      <w:r w:rsidRPr="00DB788F">
        <w:rPr>
          <w:rFonts w:hint="eastAsia"/>
        </w:rPr>
        <w:t>共轭亚油酸</w:t>
      </w:r>
    </w:p>
    <w:tbl>
      <w:tblPr>
        <w:tblStyle w:val="a3"/>
        <w:tblW w:w="9648" w:type="dxa"/>
        <w:jc w:val="center"/>
        <w:tblLook w:val="01E0" w:firstRow="1" w:lastRow="1" w:firstColumn="1" w:lastColumn="1" w:noHBand="0" w:noVBand="0"/>
      </w:tblPr>
      <w:tblGrid>
        <w:gridCol w:w="2659"/>
        <w:gridCol w:w="2669"/>
        <w:gridCol w:w="180"/>
        <w:gridCol w:w="4140"/>
      </w:tblGrid>
      <w:tr w:rsidR="00DB788F" w:rsidRPr="00DB788F" w:rsidTr="004913B7">
        <w:trPr>
          <w:jc w:val="center"/>
        </w:trPr>
        <w:tc>
          <w:tcPr>
            <w:tcW w:w="265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中文名称</w:t>
            </w:r>
          </w:p>
        </w:tc>
        <w:tc>
          <w:tcPr>
            <w:tcW w:w="6989" w:type="dxa"/>
            <w:gridSpan w:val="3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</w:t>
            </w:r>
          </w:p>
        </w:tc>
      </w:tr>
      <w:tr w:rsidR="00DB788F" w:rsidRPr="00DB788F" w:rsidTr="004913B7">
        <w:trPr>
          <w:jc w:val="center"/>
        </w:trPr>
        <w:tc>
          <w:tcPr>
            <w:tcW w:w="265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英文名称</w:t>
            </w:r>
          </w:p>
        </w:tc>
        <w:tc>
          <w:tcPr>
            <w:tcW w:w="6989" w:type="dxa"/>
            <w:gridSpan w:val="3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Conjugated Linoleic Acid</w:t>
            </w:r>
          </w:p>
        </w:tc>
      </w:tr>
      <w:tr w:rsidR="00DB788F" w:rsidRPr="00DB788F" w:rsidTr="004913B7">
        <w:trPr>
          <w:jc w:val="center"/>
        </w:trPr>
        <w:tc>
          <w:tcPr>
            <w:tcW w:w="265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主要成分</w:t>
            </w:r>
          </w:p>
        </w:tc>
        <w:tc>
          <w:tcPr>
            <w:tcW w:w="6989" w:type="dxa"/>
            <w:gridSpan w:val="3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(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C18: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2),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（主要的异构体为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C"/>
              </w:smartTagPr>
              <w:r w:rsidRPr="00DB788F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9c</w:t>
              </w:r>
            </w:smartTag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11t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和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10t,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2"/>
                <w:attr w:name="UnitName" w:val="C"/>
              </w:smartTagPr>
              <w:r w:rsidRPr="00DB788F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12</w:t>
              </w:r>
              <w:r w:rsidRPr="00DB788F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c</w:t>
              </w:r>
            </w:smartTag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的异构体）</w:t>
            </w:r>
          </w:p>
        </w:tc>
      </w:tr>
      <w:tr w:rsidR="00DB788F" w:rsidRPr="00DB788F" w:rsidTr="004913B7">
        <w:trPr>
          <w:jc w:val="center"/>
        </w:trPr>
        <w:tc>
          <w:tcPr>
            <w:tcW w:w="265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基本信息</w:t>
            </w:r>
          </w:p>
        </w:tc>
        <w:tc>
          <w:tcPr>
            <w:tcW w:w="6989" w:type="dxa"/>
            <w:gridSpan w:val="3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来源：红花籽油</w:t>
            </w:r>
          </w:p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主要成分的结构式：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object w:dxaOrig="6705" w:dyaOrig="1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.6pt;height:41.4pt" o:ole="">
                  <v:imagedata r:id="rId5" o:title=""/>
                </v:shape>
                <o:OLEObject Type="Embed" ProgID="PBrush" ShapeID="_x0000_i1025" DrawAspect="Content" ObjectID="_1387038375" r:id="rId6"/>
              </w:objec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9c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11t</w:t>
            </w:r>
          </w:p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object w:dxaOrig="6600" w:dyaOrig="900">
                <v:shape id="_x0000_i1026" type="#_x0000_t75" style="width:272.4pt;height:37.2pt" o:ole="">
                  <v:imagedata r:id="rId7" o:title=""/>
                </v:shape>
                <o:OLEObject Type="Embed" ProgID="PBrush" ShapeID="_x0000_i1026" DrawAspect="Content" ObjectID="_1387038376" r:id="rId8"/>
              </w:objec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10t,</w:t>
            </w:r>
            <w:smartTag w:uri="urn:schemas-microsoft-com:office:smarttags" w:element="chmetcnv">
              <w:smartTagPr>
                <w:attr w:name="UnitName" w:val="C"/>
                <w:attr w:name="SourceValue" w:val="1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B788F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12</w:t>
              </w:r>
              <w:r w:rsidRPr="00DB788F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c</w:t>
              </w:r>
            </w:smartTag>
          </w:p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(c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顺式结构，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t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反式结构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分子式：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C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</w:rPr>
              <w:t>18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H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</w:rPr>
              <w:t>32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O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</w:rPr>
              <w:t>2</w:t>
            </w:r>
          </w:p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分子量：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280.44</w:t>
            </w:r>
          </w:p>
        </w:tc>
      </w:tr>
      <w:tr w:rsidR="00DB788F" w:rsidRPr="00DB788F" w:rsidTr="004913B7">
        <w:trPr>
          <w:jc w:val="center"/>
        </w:trPr>
        <w:tc>
          <w:tcPr>
            <w:tcW w:w="265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生产工艺简述</w:t>
            </w:r>
          </w:p>
        </w:tc>
        <w:tc>
          <w:tcPr>
            <w:tcW w:w="6989" w:type="dxa"/>
            <w:gridSpan w:val="3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以食品级的红花籽油为原料，通过</w:t>
            </w:r>
            <w:proofErr w:type="gramStart"/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共轭化</w:t>
            </w:r>
            <w:proofErr w:type="gramEnd"/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反应将其中的亚油酸转化成共轭亚油酸。</w:t>
            </w:r>
          </w:p>
        </w:tc>
      </w:tr>
      <w:tr w:rsidR="00DB788F" w:rsidRPr="00DB788F" w:rsidTr="004913B7">
        <w:trPr>
          <w:jc w:val="center"/>
        </w:trPr>
        <w:tc>
          <w:tcPr>
            <w:tcW w:w="265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食用量</w:t>
            </w:r>
          </w:p>
        </w:tc>
        <w:tc>
          <w:tcPr>
            <w:tcW w:w="6989" w:type="dxa"/>
            <w:gridSpan w:val="3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&lt; </w:t>
            </w:r>
            <w:smartTag w:uri="urn:schemas-microsoft-com:office:smarttags" w:element="chmetcnv">
              <w:smartTagPr>
                <w:attr w:name="UnitName" w:val="克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B788F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6</w:t>
              </w:r>
              <w:r w:rsidRPr="00DB788F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克</w:t>
              </w:r>
            </w:smartTag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/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天</w:t>
            </w:r>
          </w:p>
        </w:tc>
      </w:tr>
      <w:tr w:rsidR="00DB788F" w:rsidRPr="00DB788F" w:rsidTr="004913B7">
        <w:trPr>
          <w:trHeight w:val="405"/>
          <w:jc w:val="center"/>
        </w:trPr>
        <w:tc>
          <w:tcPr>
            <w:tcW w:w="2659" w:type="dxa"/>
            <w:vMerge w:val="restart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质量要求</w:t>
            </w:r>
          </w:p>
        </w:tc>
        <w:tc>
          <w:tcPr>
            <w:tcW w:w="266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性状</w:t>
            </w:r>
          </w:p>
        </w:tc>
        <w:tc>
          <w:tcPr>
            <w:tcW w:w="4320" w:type="dxa"/>
            <w:gridSpan w:val="2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无色至淡黄色清澈、透明油状液体</w:t>
            </w:r>
          </w:p>
        </w:tc>
      </w:tr>
      <w:tr w:rsidR="00DB788F" w:rsidRPr="00DB788F" w:rsidTr="004913B7">
        <w:trPr>
          <w:trHeight w:val="225"/>
          <w:jc w:val="center"/>
        </w:trPr>
        <w:tc>
          <w:tcPr>
            <w:tcW w:w="2659" w:type="dxa"/>
            <w:vMerge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66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共轭亚油酸含量</w:t>
            </w:r>
          </w:p>
        </w:tc>
        <w:tc>
          <w:tcPr>
            <w:tcW w:w="4320" w:type="dxa"/>
            <w:gridSpan w:val="2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700-800 mg/g (w/w)</w:t>
            </w:r>
          </w:p>
        </w:tc>
      </w:tr>
      <w:tr w:rsidR="00DB788F" w:rsidRPr="00DB788F" w:rsidTr="004913B7">
        <w:trPr>
          <w:trHeight w:val="225"/>
          <w:jc w:val="center"/>
        </w:trPr>
        <w:tc>
          <w:tcPr>
            <w:tcW w:w="2659" w:type="dxa"/>
            <w:vMerge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66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C18: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2 (</w:t>
            </w:r>
            <w:smartTag w:uri="urn:schemas-microsoft-com:office:smarttags" w:element="chmetcnv">
              <w:smartTagPr>
                <w:attr w:name="UnitName" w:val="C"/>
                <w:attr w:name="SourceValue" w:val="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B788F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9c</w:t>
              </w:r>
            </w:smartTag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11t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和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10t,</w:t>
            </w:r>
            <w:smartTag w:uri="urn:schemas-microsoft-com:office:smarttags" w:element="chmetcnv">
              <w:smartTagPr>
                <w:attr w:name="UnitName" w:val="C"/>
                <w:attr w:name="SourceValue" w:val="1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B788F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12</w:t>
              </w:r>
              <w:r w:rsidRPr="00DB788F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c</w:t>
              </w:r>
            </w:smartTag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异构体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  <w:tc>
          <w:tcPr>
            <w:tcW w:w="4320" w:type="dxa"/>
            <w:gridSpan w:val="2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78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%-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84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%(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DB788F" w:rsidRPr="00DB788F" w:rsidTr="004913B7">
        <w:trPr>
          <w:trHeight w:val="225"/>
          <w:jc w:val="center"/>
        </w:trPr>
        <w:tc>
          <w:tcPr>
            <w:tcW w:w="2659" w:type="dxa"/>
            <w:vMerge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66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油酸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C18:</w:t>
            </w:r>
            <w:smartTag w:uri="urn:schemas-microsoft-com:office:smarttags" w:element="chmetcnv">
              <w:smartTagPr>
                <w:attr w:name="UnitName" w:val="C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DB788F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 xml:space="preserve">1 </w:t>
              </w:r>
              <w:r w:rsidRPr="00DB788F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 xml:space="preserve"> </w:t>
              </w:r>
              <w:r w:rsidRPr="00DB788F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c</w:t>
              </w:r>
            </w:smartTag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9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                   </w:t>
            </w:r>
          </w:p>
        </w:tc>
        <w:tc>
          <w:tcPr>
            <w:tcW w:w="4320" w:type="dxa"/>
            <w:gridSpan w:val="2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10%-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20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%(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DB788F" w:rsidRPr="00DB788F" w:rsidTr="004913B7">
        <w:trPr>
          <w:trHeight w:val="225"/>
          <w:jc w:val="center"/>
        </w:trPr>
        <w:tc>
          <w:tcPr>
            <w:tcW w:w="2659" w:type="dxa"/>
            <w:vMerge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66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棕榈酸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C16:0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                    </w:t>
            </w:r>
          </w:p>
        </w:tc>
        <w:tc>
          <w:tcPr>
            <w:tcW w:w="4320" w:type="dxa"/>
            <w:gridSpan w:val="2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&lt;4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%(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DB788F" w:rsidRPr="00DB788F" w:rsidTr="004913B7">
        <w:trPr>
          <w:trHeight w:val="225"/>
          <w:jc w:val="center"/>
        </w:trPr>
        <w:tc>
          <w:tcPr>
            <w:tcW w:w="2659" w:type="dxa"/>
            <w:vMerge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66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硬脂酸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C18:0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                    </w:t>
            </w:r>
          </w:p>
        </w:tc>
        <w:tc>
          <w:tcPr>
            <w:tcW w:w="4320" w:type="dxa"/>
            <w:gridSpan w:val="2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&lt;4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%(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DB788F" w:rsidRPr="00DB788F" w:rsidTr="004913B7">
        <w:trPr>
          <w:trHeight w:val="225"/>
          <w:jc w:val="center"/>
        </w:trPr>
        <w:tc>
          <w:tcPr>
            <w:tcW w:w="2659" w:type="dxa"/>
            <w:vMerge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66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油酸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C18: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"/>
                <w:attr w:name="UnitName" w:val="C"/>
              </w:smartTagPr>
              <w:r w:rsidRPr="00DB788F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2</w:t>
              </w:r>
              <w:r w:rsidRPr="00DB788F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 xml:space="preserve"> </w:t>
              </w:r>
              <w:r w:rsidRPr="00DB788F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 xml:space="preserve"> c</w:t>
              </w:r>
            </w:smartTag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9,c12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             </w:t>
            </w:r>
          </w:p>
        </w:tc>
        <w:tc>
          <w:tcPr>
            <w:tcW w:w="4320" w:type="dxa"/>
            <w:gridSpan w:val="2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&lt;3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%(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DB788F" w:rsidRPr="00DB788F" w:rsidTr="004913B7">
        <w:trPr>
          <w:trHeight w:val="225"/>
          <w:jc w:val="center"/>
        </w:trPr>
        <w:tc>
          <w:tcPr>
            <w:tcW w:w="2659" w:type="dxa"/>
            <w:vMerge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6989" w:type="dxa"/>
            <w:gridSpan w:val="3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共轭亚油酸异构体的组成</w:t>
            </w:r>
          </w:p>
        </w:tc>
      </w:tr>
      <w:tr w:rsidR="00DB788F" w:rsidRPr="00DB788F" w:rsidTr="004913B7">
        <w:trPr>
          <w:trHeight w:val="225"/>
          <w:jc w:val="center"/>
        </w:trPr>
        <w:tc>
          <w:tcPr>
            <w:tcW w:w="2659" w:type="dxa"/>
            <w:vMerge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49" w:type="dxa"/>
            <w:gridSpan w:val="2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C18: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2, 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C"/>
              </w:smartTagPr>
              <w:r w:rsidRPr="00DB788F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9c</w:t>
              </w:r>
            </w:smartTag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11t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异构体</w:t>
            </w:r>
          </w:p>
        </w:tc>
        <w:tc>
          <w:tcPr>
            <w:tcW w:w="4140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37.5%-42.0%(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DB788F" w:rsidRPr="00DB788F" w:rsidTr="004913B7">
        <w:trPr>
          <w:trHeight w:val="225"/>
          <w:jc w:val="center"/>
        </w:trPr>
        <w:tc>
          <w:tcPr>
            <w:tcW w:w="2659" w:type="dxa"/>
            <w:vMerge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49" w:type="dxa"/>
            <w:gridSpan w:val="2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C18: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2,  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10t,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2"/>
                <w:attr w:name="UnitName" w:val="C"/>
              </w:smartTagPr>
              <w:r w:rsidRPr="00DB788F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12</w:t>
              </w:r>
              <w:r w:rsidRPr="00DB788F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c</w:t>
              </w:r>
            </w:smartTag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异构体</w:t>
            </w:r>
          </w:p>
        </w:tc>
        <w:tc>
          <w:tcPr>
            <w:tcW w:w="4140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37.5%-42.0%(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DB788F" w:rsidRPr="00DB788F" w:rsidTr="004913B7">
        <w:trPr>
          <w:trHeight w:val="225"/>
          <w:jc w:val="center"/>
        </w:trPr>
        <w:tc>
          <w:tcPr>
            <w:tcW w:w="2659" w:type="dxa"/>
            <w:vMerge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49" w:type="dxa"/>
            <w:gridSpan w:val="2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C18: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2, 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C"/>
              </w:smartTagPr>
              <w:r w:rsidRPr="00DB788F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9c</w:t>
              </w:r>
            </w:smartTag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,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2"/>
                <w:attr w:name="UnitName" w:val="C"/>
              </w:smartTagPr>
              <w:r w:rsidRPr="00DB788F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12</w:t>
              </w:r>
              <w:r w:rsidRPr="00DB788F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c</w:t>
              </w:r>
            </w:smartTag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异构体</w:t>
            </w:r>
          </w:p>
        </w:tc>
        <w:tc>
          <w:tcPr>
            <w:tcW w:w="4140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0-3.0%(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DB788F" w:rsidRPr="00DB788F" w:rsidTr="004913B7">
        <w:trPr>
          <w:trHeight w:val="1177"/>
          <w:jc w:val="center"/>
        </w:trPr>
        <w:tc>
          <w:tcPr>
            <w:tcW w:w="2659" w:type="dxa"/>
            <w:vMerge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49" w:type="dxa"/>
            <w:gridSpan w:val="2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9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t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,11</w:t>
            </w: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t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和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10t,12t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异构体</w:t>
            </w:r>
          </w:p>
        </w:tc>
        <w:tc>
          <w:tcPr>
            <w:tcW w:w="4140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&lt;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1% (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) </w:t>
            </w:r>
          </w:p>
        </w:tc>
      </w:tr>
      <w:tr w:rsidR="00DB788F" w:rsidRPr="00DB788F" w:rsidTr="004913B7">
        <w:trPr>
          <w:jc w:val="center"/>
        </w:trPr>
        <w:tc>
          <w:tcPr>
            <w:tcW w:w="2659" w:type="dxa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其他需要说明的情况</w:t>
            </w:r>
          </w:p>
        </w:tc>
        <w:tc>
          <w:tcPr>
            <w:tcW w:w="6989" w:type="dxa"/>
            <w:gridSpan w:val="3"/>
          </w:tcPr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使用范围：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1.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直接食用。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</w:t>
            </w:r>
          </w:p>
          <w:p w:rsidR="00DB788F" w:rsidRPr="00DB788F" w:rsidRDefault="00DB788F" w:rsidP="00DB788F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2.</w:t>
            </w:r>
            <w:r w:rsidRPr="00DB788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脂肪、食用油和乳化脂肪制品，但不包括婴幼儿食品。</w:t>
            </w:r>
          </w:p>
        </w:tc>
      </w:tr>
    </w:tbl>
    <w:p w:rsidR="00693C54" w:rsidRPr="00DB788F" w:rsidRDefault="00693C54">
      <w:bookmarkStart w:id="0" w:name="_GoBack"/>
      <w:bookmarkEnd w:id="0"/>
    </w:p>
    <w:sectPr w:rsidR="00693C54" w:rsidRPr="00DB78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88F"/>
    <w:rsid w:val="00693C54"/>
    <w:rsid w:val="00DB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788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788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2012-01-02T11:40:00Z</dcterms:created>
  <dcterms:modified xsi:type="dcterms:W3CDTF">2012-01-02T11:40:00Z</dcterms:modified>
</cp:coreProperties>
</file>